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4"/>
        <w:gridCol w:w="6801"/>
        <w:gridCol w:w="3289"/>
      </w:tblGrid>
      <w:tr w:rsidR="006E7798" w:rsidRPr="006E7798" w:rsidTr="006E7798">
        <w:tc>
          <w:tcPr>
            <w:tcW w:w="14596" w:type="dxa"/>
            <w:gridSpan w:val="4"/>
            <w:shd w:val="clear" w:color="auto" w:fill="D9D9D9"/>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Dự thảo Nghị định quy định về điều kiện đầu tư và hoạt động trong lĩnh vực giáo dục</w:t>
            </w:r>
          </w:p>
        </w:tc>
      </w:tr>
      <w:tr w:rsidR="006E7798" w:rsidRPr="006E7798" w:rsidTr="006E7798">
        <w:tc>
          <w:tcPr>
            <w:tcW w:w="692" w:type="dxa"/>
            <w:vMerge w:val="restart"/>
            <w:shd w:val="clear" w:color="auto" w:fill="auto"/>
          </w:tcPr>
          <w:p w:rsidR="006E7798" w:rsidRPr="006E7798" w:rsidRDefault="006E7798" w:rsidP="006E7798">
            <w:pPr>
              <w:numPr>
                <w:ilvl w:val="0"/>
                <w:numId w:val="4"/>
              </w:numPr>
              <w:spacing w:before="120" w:after="80" w:line="276" w:lineRule="auto"/>
              <w:contextualSpacing/>
              <w:jc w:val="both"/>
              <w:rPr>
                <w:rFonts w:ascii="Times New Roman" w:eastAsia="Calibri" w:hAnsi="Times New Roman" w:cs="Times New Roman"/>
                <w:sz w:val="26"/>
                <w:szCs w:val="26"/>
              </w:rPr>
            </w:pPr>
          </w:p>
        </w:tc>
        <w:tc>
          <w:tcPr>
            <w:tcW w:w="3814" w:type="dxa"/>
            <w:vMerge w:val="restart"/>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Thủ tục để thành lập trường mẫu giáo, trường mầm non, nhà trẻ (Mục 1 Chương II)</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Theo quy định tại Mục 1 Chương II thì để thành lập trường mẫu giáo, trường mầm non, nhà trẻ, phải thực hiện các thủ tục sau:</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Thủ tục thành lập/cho phép thành lập trường mẫu giáo, trường mầm non, nhà trẻ</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Thủ tục cho phép trường mẫu giáo, trường mầm non, nhà trẻ hoạt động</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Đối với thủ tục cho phép thành lập trường mẫu giáo, trường mầm non, nhà trẻ:</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Điều 4 Dự thảo quy định về Hồ sơ, trình tự thủ tục để được phép thành lập trường mẫu giáo, trường mầm non, nhà trẻ. Tuy nhiên, Dự thảo lại không quy định các cơ quan có thẩm quyền sẽ dựa vào tiêu chí nào để cho phép hay từ chối việc thành lập các cơ sở giáo dục này. </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Sự thiếu rõ ràng trong các tiêu chí để cấp phép, sẽ tạo ra dư địa của tình trạng tham nhũng và phân biệt đối xử giữa các đối tượng trong cùng điều kiện.</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quy định rõ</w:t>
            </w:r>
            <w:r w:rsidRPr="006E7798">
              <w:rPr>
                <w:rFonts w:ascii="Times New Roman" w:eastAsia="Calibri" w:hAnsi="Times New Roman" w:cs="Times New Roman"/>
                <w:sz w:val="26"/>
                <w:szCs w:val="26"/>
                <w:lang w:val="fr-FR"/>
              </w:rPr>
              <w:t xml:space="preserve"> về tiêu chí để cơ quan nhà nước có thẩm quyền cho phép/từ chối thành lập trường mẫu giáo, trường mầm non, nhà trẻ quy định tại Điều 4</w:t>
            </w:r>
          </w:p>
        </w:tc>
      </w:tr>
      <w:tr w:rsidR="006E7798" w:rsidRPr="006E7798" w:rsidTr="006E7798">
        <w:tc>
          <w:tcPr>
            <w:tcW w:w="692"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3814"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Đối với thủ tục cho phép trường mẫu giáo, trường mầm non, nhà trẻ hoạt động:</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kiện về cơ sở vật chất</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Một số điều kiện áp dụng đối với trường mẫu giáo, trường mầm non, nhà trẻ ở thành thị là chưa phù hợp, chẳng hạn:</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Yêu cầu về diện tích tối thiểu 8m</w:t>
            </w:r>
            <w:r w:rsidRPr="006E7798">
              <w:rPr>
                <w:rFonts w:ascii="Times New Roman" w:eastAsia="Calibri" w:hAnsi="Times New Roman" w:cs="Times New Roman"/>
                <w:sz w:val="26"/>
                <w:szCs w:val="26"/>
                <w:vertAlign w:val="superscript"/>
                <w:lang w:val="fr-FR"/>
              </w:rPr>
              <w:t>2</w:t>
            </w:r>
            <w:r w:rsidRPr="006E7798">
              <w:rPr>
                <w:rFonts w:ascii="Times New Roman" w:eastAsia="Calibri" w:hAnsi="Times New Roman" w:cs="Times New Roman"/>
                <w:sz w:val="26"/>
                <w:szCs w:val="26"/>
                <w:lang w:val="fr-FR"/>
              </w:rPr>
              <w:t>/trẻ; có sân vườn gồm: sân chơi của nhóm, lớp; sân chơi chung; sân chơi – cây xanh; có các khối công trình (phòng sinh hoạt chung, phòng giáo dục thể chất, phòng giáo dục nghệ thuật, phòng hành chính, y tế, phòng cho nhân viên …).</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Ở các thành phố lớn, với mật độ dân số cao, đô thị hóa cao, thì yêu cầu về quy mô của các trường mẫu giáo, trường mầm non, nhà trẻ như tại Dự thảo là chưa phù hợp. Điều này dẫn tới việc rất ít cơ sở giáo dục thuộc các loại hình trên có đủ điều kiện tham gia vào lĩnh vực này. Vô hình trung, đặt gánh nặng lên các trường công lập hoặc gây ra tình trạng nhiều trẻ em không có cơ hội được đến trường, phụ Huynh không yên tâm làm việc.</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lastRenderedPageBreak/>
              <w:t>Điều kiện về nhân lực, tài chính</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Khoản 3, 4 Điều 5 Dự thảo quy định về điều kiện nhân lực, tài chính của trường mẫu giáo, trường mầm non, nhà trẻ, tuy nhiên các điều kiện này lại chung chung, không tạo cách hiểu thống nhất giữa các đối tượng áp dụng. Điều này có thể dẫn tới sự phiền nhiễu của các cán bộ thực hiện thủ tục. Ví dụ: như thế nào được cho là “đội ngũ cán bộ quản lý, giáo viên và nhân viên đủ về số lượng, hợp lý về cơ cấu và đạt tiêu chuẩn bảo đảm thực hiện chương trình giáo dục mầm non và tổ chức hoạt động giáo dục”? Như thế nào được cho là “có đủ nguồn lực tài chính theo quy định”, quy định ở đâu?</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Hồ sơ đề nghị cấp phép (Điều 6)</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Dự thảo yêu cầu trong Hồ sơ đề nghị cấp phép hoạt động phải có: hợp đồng làm việc đã được ký kết giữa trường mẫu giáo, trường mầm non, nhà trẻ với từng giáo viên, với từng cán bộ quản lý.</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Yêu cầu tại thời điểm cấp phép, đã phải có các hợp đồng này sẽ tạo ra rủi ro cho cá nhân, tổ chức xin cấp phép. Vì tại thời điểm này họ không thể biết chắc là mình có được cấp phép hay không? Bao giờ được cấp phép trong khi đó đã phải ký kết hợp đồng nhân sự. Trong trường hợp không được cấp phép hoạt động hoặc thời gian cấp phép bị kéo dài, thì các cá nhân, tổ chức này sẽ rơi vào tình trạng vi phạm hợp đồng và có khả năng sẽ chịu bồi thường thiệt hại.</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 xml:space="preserve">Đề nghị quy định các điều kiện hoạt động đối với trường mẫu giáo, trường mầm non, nhà trẻ </w:t>
            </w:r>
            <w:r w:rsidRPr="006E7798">
              <w:rPr>
                <w:rFonts w:ascii="Times New Roman" w:eastAsia="Calibri" w:hAnsi="Times New Roman" w:cs="Times New Roman"/>
                <w:b/>
                <w:sz w:val="26"/>
                <w:szCs w:val="26"/>
                <w:lang w:val="fr-FR"/>
              </w:rPr>
              <w:t>phù hợp với đặc thù của khu vực đô thị, đặc biệt là các thành phố lớn</w:t>
            </w:r>
            <w:r w:rsidRPr="006E7798">
              <w:rPr>
                <w:rFonts w:ascii="Times New Roman" w:eastAsia="Calibri" w:hAnsi="Times New Roman" w:cs="Times New Roman"/>
                <w:sz w:val="26"/>
                <w:szCs w:val="26"/>
                <w:lang w:val="fr-FR"/>
              </w:rPr>
              <w:t>, đó là thu hẹp yêu cầu về diện tích tối thiểu, chỉ yêu cầu những loại phòng cơ bản phục vụ cho công tác giảng dạy, vui chơi của trẻ.</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quy định </w:t>
            </w:r>
            <w:r w:rsidRPr="006E7798">
              <w:rPr>
                <w:rFonts w:ascii="Times New Roman" w:eastAsia="Calibri" w:hAnsi="Times New Roman" w:cs="Times New Roman"/>
                <w:b/>
                <w:sz w:val="26"/>
                <w:szCs w:val="26"/>
                <w:lang w:val="fr-FR"/>
              </w:rPr>
              <w:t>cụ thể, rõ ràng</w:t>
            </w:r>
            <w:r w:rsidRPr="006E7798">
              <w:rPr>
                <w:rFonts w:ascii="Times New Roman" w:eastAsia="Calibri" w:hAnsi="Times New Roman" w:cs="Times New Roman"/>
                <w:sz w:val="26"/>
                <w:szCs w:val="26"/>
                <w:lang w:val="fr-FR"/>
              </w:rPr>
              <w:t xml:space="preserve"> các điều kiện về nhân lực, tài chính mà trường mẫu giáo, trường mầm non, nhà trẻ phải đáp ứng</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trong </w:t>
            </w:r>
            <w:r w:rsidRPr="006E7798">
              <w:rPr>
                <w:rFonts w:ascii="Times New Roman" w:eastAsia="Calibri" w:hAnsi="Times New Roman" w:cs="Times New Roman"/>
                <w:b/>
                <w:sz w:val="26"/>
                <w:szCs w:val="26"/>
                <w:lang w:val="fr-FR"/>
              </w:rPr>
              <w:t>Hồ sơ</w:t>
            </w:r>
            <w:r w:rsidRPr="006E7798">
              <w:rPr>
                <w:rFonts w:ascii="Times New Roman" w:eastAsia="Calibri" w:hAnsi="Times New Roman" w:cs="Times New Roman"/>
                <w:sz w:val="26"/>
                <w:szCs w:val="26"/>
                <w:lang w:val="fr-FR"/>
              </w:rPr>
              <w:t xml:space="preserve"> xin cấp phép hoạt động quy định tại </w:t>
            </w:r>
            <w:r w:rsidRPr="006E7798">
              <w:rPr>
                <w:rFonts w:ascii="Times New Roman" w:eastAsia="Calibri" w:hAnsi="Times New Roman" w:cs="Times New Roman"/>
                <w:sz w:val="26"/>
                <w:szCs w:val="26"/>
                <w:lang w:val="fr-FR"/>
              </w:rPr>
              <w:lastRenderedPageBreak/>
              <w:t xml:space="preserve">khoản 2 Điều 6 Dự thảo, </w:t>
            </w:r>
            <w:r w:rsidRPr="006E7798">
              <w:rPr>
                <w:rFonts w:ascii="Times New Roman" w:eastAsia="Calibri" w:hAnsi="Times New Roman" w:cs="Times New Roman"/>
                <w:b/>
                <w:sz w:val="26"/>
                <w:szCs w:val="26"/>
                <w:lang w:val="fr-FR"/>
              </w:rPr>
              <w:t>chỉ cần cung cấp danh sách giáo viên, cán bộ quản lý dự kiến</w:t>
            </w:r>
            <w:r w:rsidRPr="006E7798">
              <w:rPr>
                <w:rFonts w:ascii="Times New Roman" w:eastAsia="Calibri" w:hAnsi="Times New Roman" w:cs="Times New Roman"/>
                <w:sz w:val="26"/>
                <w:szCs w:val="26"/>
                <w:lang w:val="fr-FR"/>
              </w:rPr>
              <w:t xml:space="preserve"> mà không phải cung cấp các Hợp đồng ký kết với những người này. Và sẽ cung cấp Hợp đồng lao động sau khi được cấp phép.</w:t>
            </w:r>
          </w:p>
        </w:tc>
      </w:tr>
      <w:tr w:rsidR="006E7798" w:rsidRPr="006E7798" w:rsidTr="006E7798">
        <w:tc>
          <w:tcPr>
            <w:tcW w:w="692" w:type="dxa"/>
            <w:vMerge w:val="restart"/>
            <w:shd w:val="clear" w:color="auto" w:fill="auto"/>
          </w:tcPr>
          <w:p w:rsidR="006E7798" w:rsidRPr="006E7798" w:rsidRDefault="006E7798" w:rsidP="006E7798">
            <w:pPr>
              <w:numPr>
                <w:ilvl w:val="0"/>
                <w:numId w:val="4"/>
              </w:numPr>
              <w:spacing w:before="120" w:after="80" w:line="276" w:lineRule="auto"/>
              <w:contextualSpacing/>
              <w:jc w:val="both"/>
              <w:rPr>
                <w:rFonts w:ascii="Times New Roman" w:eastAsia="Calibri" w:hAnsi="Times New Roman" w:cs="Times New Roman"/>
                <w:sz w:val="26"/>
                <w:szCs w:val="26"/>
                <w:lang w:val="fr-FR"/>
              </w:rPr>
            </w:pPr>
          </w:p>
        </w:tc>
        <w:tc>
          <w:tcPr>
            <w:tcW w:w="3814" w:type="dxa"/>
            <w:vMerge w:val="restart"/>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Đình chỉ hoạt động trường mẫu giáo, trường mầm non, nhà trẻ trong trường hợp (khoản 1 Điều 8):</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Không triển khai hoạt động giáo dục kể từ ngày được </w:t>
            </w:r>
            <w:r w:rsidRPr="006E7798">
              <w:rPr>
                <w:rFonts w:ascii="Times New Roman" w:eastAsia="Calibri" w:hAnsi="Times New Roman" w:cs="Times New Roman"/>
                <w:sz w:val="26"/>
                <w:szCs w:val="26"/>
                <w:lang w:val="fr-FR"/>
              </w:rPr>
              <w:lastRenderedPageBreak/>
              <w:t>phép hoạt động giáo dục (điểm d)</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Các trường hợp khác theo quy định của pháp luật (điểm e)</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“Không triển khai hoạt động giáo dục kể từ ngày được phép hoạt động giáo dục” là trường hợp đình chỉ hoạt động trường mẫu giáo, trường mầm non, nhà trẻ. Cần xem xét vấn đề sau:</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Quy định trên có thể nhằm mục đích, đảm bảo những cơ sở được cấp phép thực sự đi vào hoạt động. Tuy nhiên, trong nhiều trường hợp, sau khi được cấp phép hoạt động, nhà trường cần </w:t>
            </w:r>
            <w:r w:rsidRPr="006E7798">
              <w:rPr>
                <w:rFonts w:ascii="Times New Roman" w:eastAsia="Calibri" w:hAnsi="Times New Roman" w:cs="Times New Roman"/>
                <w:sz w:val="26"/>
                <w:szCs w:val="26"/>
                <w:lang w:val="fr-FR"/>
              </w:rPr>
              <w:lastRenderedPageBreak/>
              <w:t>phải có một thời gian hợp lý để có thể triển khai hoạt động mà không thể thực hiện ngay lập tức. Nếu trong một khoảng thời gian, chẳng hạn như 12 tháng kể từ ngày được cấp phép, cơ sở này không có bất kỳ hoạt động triển khai nào, thì có thể cơ sở để cho rằng họ không muốn/không thể … hoạt động theo giấy phép và lúc này có thể đình chỉ/hoặc thu hồi giấy phép.</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“Các trường hợp khác theo quy định của pháp luật” là quy định khá chung chung, khiến cho các cơ sở giáo dục không thể nhận diện được hiết các trường hợp mà cơ sở của mình có nguy cơ bị đình chỉ hoạt động, trong khi đây là chế tài khá nặng, ảnh hưởng trực tiếp đến hoạt động của các cơ sở.</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Đề nghị sửa đổi quy định tại điểm d khoản 1 Điều 8 theo hướng “Không triển khai hoạt động giáo dục trong vòng 12 tháng kể từ ngày được phép hoạt động”.</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 xml:space="preserve">Đề nghị </w:t>
            </w:r>
            <w:r w:rsidRPr="006E7798">
              <w:rPr>
                <w:rFonts w:ascii="Times New Roman" w:eastAsia="Calibri" w:hAnsi="Times New Roman" w:cs="Times New Roman"/>
                <w:b/>
                <w:sz w:val="26"/>
                <w:szCs w:val="26"/>
                <w:lang w:val="fr-FR"/>
              </w:rPr>
              <w:t>liệt kê cụ thể, rõ ràng</w:t>
            </w:r>
            <w:r w:rsidRPr="006E7798">
              <w:rPr>
                <w:rFonts w:ascii="Times New Roman" w:eastAsia="Calibri" w:hAnsi="Times New Roman" w:cs="Times New Roman"/>
                <w:sz w:val="26"/>
                <w:szCs w:val="26"/>
                <w:lang w:val="fr-FR"/>
              </w:rPr>
              <w:t xml:space="preserve"> các trường hợp đình chỉ hoạt động trường mẫu giáo, trường mầm non, nhà trẻ quy định tại khoản 1 Điều 8. Trong trường hợp không liệt kê được thì </w:t>
            </w:r>
            <w:r w:rsidRPr="006E7798">
              <w:rPr>
                <w:rFonts w:ascii="Times New Roman" w:eastAsia="Calibri" w:hAnsi="Times New Roman" w:cs="Times New Roman"/>
                <w:b/>
                <w:sz w:val="26"/>
                <w:szCs w:val="26"/>
                <w:lang w:val="fr-FR"/>
              </w:rPr>
              <w:t>đề nghị bỏ quy định</w:t>
            </w:r>
            <w:r w:rsidRPr="006E7798">
              <w:rPr>
                <w:rFonts w:ascii="Times New Roman" w:eastAsia="Calibri" w:hAnsi="Times New Roman" w:cs="Times New Roman"/>
                <w:sz w:val="26"/>
                <w:szCs w:val="26"/>
                <w:lang w:val="fr-FR"/>
              </w:rPr>
              <w:t xml:space="preserve"> “Các trường hợp khác theo quy định của pháp luật”, tức là bỏ quy định tại điểm e khoản 1 Điều 8. </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ý tương tự đối với các quy định:</w:t>
            </w:r>
          </w:p>
          <w:p w:rsidR="006E7798" w:rsidRPr="006E7798" w:rsidRDefault="006E7798" w:rsidP="006E7798">
            <w:pPr>
              <w:numPr>
                <w:ilvl w:val="0"/>
                <w:numId w:val="3"/>
              </w:numPr>
              <w:spacing w:before="120" w:after="80" w:line="276" w:lineRule="auto"/>
              <w:ind w:left="317"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Đình chỉ hoạt động giáo dục đối với trường tiểu học: bỏ điểm e khoản 1 Điều 20;</w:t>
            </w:r>
          </w:p>
          <w:p w:rsidR="006E7798" w:rsidRPr="006E7798" w:rsidRDefault="006E7798" w:rsidP="006E7798">
            <w:pPr>
              <w:numPr>
                <w:ilvl w:val="0"/>
                <w:numId w:val="3"/>
              </w:numPr>
              <w:spacing w:before="120" w:after="80" w:line="276" w:lineRule="auto"/>
              <w:ind w:left="317"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Đình chỉ hoạt động giáo dục đối với trường trung học cơ sở, trường trung học phổ thông và trường phổ thông có nhiều cấp học: bỏ quy định tại điểm g khoản 1 Điều 30;</w:t>
            </w:r>
          </w:p>
          <w:p w:rsidR="006E7798" w:rsidRPr="006E7798" w:rsidRDefault="006E7798" w:rsidP="006E7798">
            <w:pPr>
              <w:numPr>
                <w:ilvl w:val="0"/>
                <w:numId w:val="3"/>
              </w:numPr>
              <w:spacing w:before="120" w:after="80" w:line="276" w:lineRule="auto"/>
              <w:ind w:left="317"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Đình chỉ hoạt động trung tâm hỗ trợ và phát triển giáo dục hòa nhập: bỏ quy định tại điểm e khoản 1 Điều 66.</w:t>
            </w:r>
          </w:p>
        </w:tc>
      </w:tr>
      <w:tr w:rsidR="006E7798" w:rsidRPr="006E7798" w:rsidTr="006E7798">
        <w:tc>
          <w:tcPr>
            <w:tcW w:w="692"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3814"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Dự thảo quy định về căn cứ đình chỉ, thẩm quyền ban hành quyết định đình chỉ nhưng lại không quy định về thời hạn đình chỉ. Điều này sẽ trao quá nhiều quyền cho các cán bộ thực thi và có thể phát sinh những tiêu cực từ sự thiếu minh bạch này</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quy định về thời hạn đình chỉ</w:t>
            </w:r>
            <w:r w:rsidRPr="006E7798">
              <w:rPr>
                <w:rFonts w:ascii="Times New Roman" w:eastAsia="Calibri" w:hAnsi="Times New Roman" w:cs="Times New Roman"/>
                <w:sz w:val="26"/>
                <w:szCs w:val="26"/>
                <w:lang w:val="fr-FR"/>
              </w:rPr>
              <w:t>.</w:t>
            </w:r>
          </w:p>
        </w:tc>
      </w:tr>
      <w:tr w:rsidR="006E7798" w:rsidRPr="006E7798" w:rsidTr="006E7798">
        <w:tc>
          <w:tcPr>
            <w:tcW w:w="692" w:type="dxa"/>
            <w:vMerge w:val="restart"/>
            <w:shd w:val="clear" w:color="auto" w:fill="auto"/>
          </w:tcPr>
          <w:p w:rsidR="006E7798" w:rsidRPr="006E7798" w:rsidRDefault="006E7798" w:rsidP="006E7798">
            <w:pPr>
              <w:numPr>
                <w:ilvl w:val="0"/>
                <w:numId w:val="4"/>
              </w:numPr>
              <w:spacing w:before="120" w:after="80" w:line="276" w:lineRule="auto"/>
              <w:contextualSpacing/>
              <w:jc w:val="both"/>
              <w:rPr>
                <w:rFonts w:ascii="Times New Roman" w:eastAsia="Calibri" w:hAnsi="Times New Roman" w:cs="Times New Roman"/>
                <w:sz w:val="26"/>
                <w:szCs w:val="26"/>
                <w:lang w:val="fr-FR"/>
              </w:rPr>
            </w:pPr>
          </w:p>
        </w:tc>
        <w:tc>
          <w:tcPr>
            <w:tcW w:w="3814" w:type="dxa"/>
            <w:vMerge w:val="restart"/>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 xml:space="preserve">Giải thể trường mẫu giáo, trường mầm non, nhà trẻ (Điều 9) </w:t>
            </w:r>
            <w:r w:rsidRPr="006E7798">
              <w:rPr>
                <w:rFonts w:ascii="Times New Roman" w:eastAsia="Calibri" w:hAnsi="Times New Roman" w:cs="Times New Roman"/>
                <w:sz w:val="26"/>
                <w:szCs w:val="26"/>
                <w:lang w:val="fr-FR"/>
              </w:rPr>
              <w:t>trong trường hợp:</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Mục tiêu và nội dung hoạt động trong quyết định thành lập hoặc cho phép thành lập trường mẫu giáo, trường mầm non, nhà trẻ không còn phù hợp với yêu cầu phát triển kinh tế - xã hội” (điểm c khoản 1 Điều 9)</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Vi phạm nghiêm trọng các quy định về quản lý, tổ chức, hoạt động của trường mẫu giáo, trường mầm non, nhà trẻ, ảnh hưởng đến chất lượng chăm sóc, giáo dục trẻ</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Đây là căn cứ chung chung và thiếu rõ ràng. Như thế nào được cho là mục tiêu và nội dung hoạt động không còn phù hợp với yêu cầu phát triển kinh tế - xã hội? Ai, cơ quan nào sẽ đánh giá? Dựa vào những tiêu chí nào?</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Sự thiếu rõ ràng trong căn cứ này sẽ tạo ra rủi ro rất lớn cho các trường mẫu giáo, trường mầm non, nhà trẻ tư thục khi luôn đặt trong tình trạng bị giải thể.</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Đề nghị quy định có tính định lượng đối với căn cứ quy định tại điểm c khoản 1 Điều 9 nhất là làm rõ các vấn đề được đặt ra ở trên. Trong trường hợp không làm rõ được, đề nghị bỏ căn cứ này, tức là bỏ điểm c khoản 1 Điều 9.</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ý tương tự đối với các quy định:</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trường tiểu học (Điều 21): bỏ điểm c khoản 1 Điều 21</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trường trung học (Điều 31): bỏ điểm c khoản 1 Điều 31</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trung tâm kỹ thuật tổng hợp – hướng nghiệp (Điều 36): bỏ điểm c khoản 1 Điều 36;</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trung tâm giáo dục thường xuyên (Điều 43): bỏ điểm c khoản 1 Điều 43;</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Giải thể trung tâm học tập cộng đồng (Điều 47): bỏ điểm c khoản 1 Điều 47;</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trung tâm ngoại ngữ, tin học (Điều 53): bỏ điểm c khoản 1 Điều 53;</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trường đại học (Điều 96): bỏ điểm c khoản 1 Điều 96</w:t>
            </w:r>
          </w:p>
        </w:tc>
      </w:tr>
      <w:tr w:rsidR="006E7798" w:rsidRPr="006E7798" w:rsidTr="006E7798">
        <w:tc>
          <w:tcPr>
            <w:tcW w:w="692"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3814"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Như thế nào được cho là “Vi phạm nghiêm trọng”?</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quy định có tính định lượng</w:t>
            </w:r>
            <w:r w:rsidRPr="006E7798">
              <w:rPr>
                <w:rFonts w:ascii="Times New Roman" w:eastAsia="Calibri" w:hAnsi="Times New Roman" w:cs="Times New Roman"/>
                <w:sz w:val="26"/>
                <w:szCs w:val="26"/>
                <w:lang w:val="fr-FR"/>
              </w:rPr>
              <w:t xml:space="preserve"> đối với quy định này.</w:t>
            </w:r>
          </w:p>
        </w:tc>
      </w:tr>
      <w:tr w:rsidR="006E7798" w:rsidRPr="006E7798" w:rsidTr="006E7798">
        <w:tc>
          <w:tcPr>
            <w:tcW w:w="692"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3814" w:type="dxa"/>
            <w:vMerge/>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“Giải thể” hay là “Thu hồi giấy phép hoạt động”</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Mặc dù cả hai hình thức này đều dẫn tới việc chấm dứt hoạt động của cơ sở, tuy nhiên trình tự thủ tục lại khác nhau theo quy định của pháp luật.</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Về bản chất thì, các trường hợp quy định tại điểm a, b khoản 1 Điều 9 xuất phát từ hành vi vi phạm của cơ sở giáo dục, có thể là căn cứ để áp dụng chế tài thu hồi giấy phép hoạt động và trình tự thủ tục để thu hồi sẽ đơn giản hơn nhiều là ban hành 1 quyết định giải thể.</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Hơn nữa, giải thể là hình thức chấm dứt hoạt động xuất phát từ yêu cầu của chính tổ chức chứ không phải là của chủ thể khác.  </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sửa quy định</w:t>
            </w:r>
            <w:r w:rsidRPr="006E7798">
              <w:rPr>
                <w:rFonts w:ascii="Times New Roman" w:eastAsia="Calibri" w:hAnsi="Times New Roman" w:cs="Times New Roman"/>
                <w:sz w:val="26"/>
                <w:szCs w:val="26"/>
                <w:lang w:val="fr-FR"/>
              </w:rPr>
              <w:t xml:space="preserve"> tại Điều 9 của Dự thảo từ thủ tục </w:t>
            </w:r>
            <w:r w:rsidRPr="006E7798">
              <w:rPr>
                <w:rFonts w:ascii="Times New Roman" w:eastAsia="Calibri" w:hAnsi="Times New Roman" w:cs="Times New Roman"/>
                <w:b/>
                <w:sz w:val="26"/>
                <w:szCs w:val="26"/>
                <w:lang w:val="fr-FR"/>
              </w:rPr>
              <w:t>giải thể sang thủ tục thu hồi giấy chứng nhận</w:t>
            </w:r>
            <w:r w:rsidRPr="006E7798">
              <w:rPr>
                <w:rFonts w:ascii="Times New Roman" w:eastAsia="Calibri" w:hAnsi="Times New Roman" w:cs="Times New Roman"/>
                <w:sz w:val="26"/>
                <w:szCs w:val="26"/>
                <w:lang w:val="fr-FR"/>
              </w:rPr>
              <w:t xml:space="preserve"> hoạt động của trường mẫu giáo, trường mầm non, nhà trẻ.</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ý tương tự đối với các Điều 14, 21, 31, 36, 43, 47, 53, 65.</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both"/>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Thu hồi giấy chứng nhận đăng ký hoạt động và giải thể trường trung cấp, trường cao đẳng</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Điều 83 Dự thảo quy định các trường hợp thu hồi giấy chứng nhận đăng ký hoạt động giáo dục nghề nghiệp trình độ trung cấp, trình độ cao đẳng:</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Vi phạm nghiêm trọng quy định về tổ chức hoạt động giáo dục nghề nghiệp</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Hết thời hạn đình chỉ tuyển sinh mà không khắc phục được nguyên nhân dẫn đến đình chỉ tuyển sinh</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Điều 84 Dự thảo quy định về các trường hợp giải thể trường trung cấp, cao đẳng:</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Vi phạm các quy định của pháp luật gây hậu quả nghiêm trọng (điểm a khoản 1);</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Hết thời hạn đình chỉ hoạt động giáo dục mà không khắc phục được nguyên nhân dẫn đến việc bị đình chỉ (điểm a khoản 1)</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Các trường hợp trên là tương tự nhau, tuy nhiên chế tài được áp dụng lại khác nhau. Như vậy, dẫn đến tình trạng, sẽ không biết sẽ áp dụng chế tài nào đối với 1 hành vi vi phạm hoặc có sự tùy nghi trong áp dụng của các cán bộ thực thi.</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chuyển</w:t>
            </w:r>
            <w:r w:rsidRPr="006E7798">
              <w:rPr>
                <w:rFonts w:ascii="Times New Roman" w:eastAsia="Calibri" w:hAnsi="Times New Roman" w:cs="Times New Roman"/>
                <w:sz w:val="26"/>
                <w:szCs w:val="26"/>
                <w:lang w:val="fr-FR"/>
              </w:rPr>
              <w:t xml:space="preserve"> các trường hợp giải thể quy định tại Điều 84 sang các trường hợp bị thu hồi tại Điều 83.</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Quy định có tính định lượng các khái niệm như: “vi phạm nghiêm trọng”, “gây hậu quả nghiêm trọng”</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kiện để thành lập nhóm trẻ, lớp mẫu giáo độc lập (Điều 10)</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“Có giáo viên đạt trình đổ chuẩn </w:t>
            </w:r>
            <w:r w:rsidRPr="006E7798">
              <w:rPr>
                <w:rFonts w:ascii="Times New Roman" w:eastAsia="Calibri" w:hAnsi="Times New Roman" w:cs="Times New Roman"/>
                <w:b/>
                <w:sz w:val="26"/>
                <w:szCs w:val="26"/>
                <w:lang w:val="fr-FR"/>
              </w:rPr>
              <w:t>theo quy định</w:t>
            </w:r>
            <w:r w:rsidRPr="006E7798">
              <w:rPr>
                <w:rFonts w:ascii="Times New Roman" w:eastAsia="Calibri" w:hAnsi="Times New Roman" w:cs="Times New Roman"/>
                <w:sz w:val="26"/>
                <w:szCs w:val="26"/>
                <w:lang w:val="fr-FR"/>
              </w:rPr>
              <w:t>”</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Theo quy định nào? Tại văn bản pháp luật nào?</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Đề nghị</w:t>
            </w:r>
            <w:r w:rsidRPr="006E7798">
              <w:rPr>
                <w:rFonts w:ascii="Times New Roman" w:eastAsia="Calibri" w:hAnsi="Times New Roman" w:cs="Times New Roman"/>
                <w:sz w:val="26"/>
                <w:szCs w:val="26"/>
                <w:lang w:val="fr-FR"/>
              </w:rPr>
              <w:t xml:space="preserve"> </w:t>
            </w:r>
            <w:r w:rsidRPr="006E7798">
              <w:rPr>
                <w:rFonts w:ascii="Times New Roman" w:eastAsia="Calibri" w:hAnsi="Times New Roman" w:cs="Times New Roman"/>
                <w:b/>
                <w:sz w:val="26"/>
                <w:szCs w:val="26"/>
                <w:lang w:val="fr-FR"/>
              </w:rPr>
              <w:t>quy định rõ</w:t>
            </w:r>
            <w:r w:rsidRPr="006E7798">
              <w:rPr>
                <w:rFonts w:ascii="Times New Roman" w:eastAsia="Calibri" w:hAnsi="Times New Roman" w:cs="Times New Roman"/>
                <w:sz w:val="26"/>
                <w:szCs w:val="26"/>
                <w:lang w:val="fr-FR"/>
              </w:rPr>
              <w:t xml:space="preserve"> hoặc dẫn chiếu tới văn bản quy định cụ thể vấn đề này</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Thủ tục thành lập hoặc cho phép thành lập trường tiểu học (Điều 16)</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Hồ sơ đề nghị thành lập hoặc cho phép thành lập trường phải có:</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“Ý kiến bằng văn bản của </w:t>
            </w:r>
            <w:r w:rsidRPr="006E7798">
              <w:rPr>
                <w:rFonts w:ascii="Times New Roman" w:eastAsia="Calibri" w:hAnsi="Times New Roman" w:cs="Times New Roman"/>
                <w:b/>
                <w:sz w:val="26"/>
                <w:szCs w:val="26"/>
                <w:lang w:val="fr-FR"/>
              </w:rPr>
              <w:t>các cơ quan liên quan</w:t>
            </w:r>
            <w:r w:rsidRPr="006E7798">
              <w:rPr>
                <w:rFonts w:ascii="Times New Roman" w:eastAsia="Calibri" w:hAnsi="Times New Roman" w:cs="Times New Roman"/>
                <w:sz w:val="26"/>
                <w:szCs w:val="26"/>
                <w:lang w:val="fr-FR"/>
              </w:rPr>
              <w:t xml:space="preserve"> về việc thành lập trường”;</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“Báo cáo giải trình việc thiếp thu ý kiến của các cơ quan liên quan và báo cáo bổ sung theo ý kiến chỉ đạo của ủy ban nhân dân cấp huyện”</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Đây được cho là một loại “giấy phép con” và không rõ ở các điểm:</w:t>
            </w:r>
          </w:p>
          <w:p w:rsidR="006E7798" w:rsidRPr="006E7798" w:rsidRDefault="006E7798" w:rsidP="006E7798">
            <w:pPr>
              <w:numPr>
                <w:ilvl w:val="0"/>
                <w:numId w:val="3"/>
              </w:numPr>
              <w:spacing w:before="120" w:after="80" w:line="276" w:lineRule="auto"/>
              <w:ind w:left="456"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Các cơ quan liên quan ở đây được xác định là các cơ quan nào?</w:t>
            </w:r>
          </w:p>
          <w:p w:rsidR="006E7798" w:rsidRPr="006E7798" w:rsidRDefault="006E7798" w:rsidP="006E7798">
            <w:pPr>
              <w:numPr>
                <w:ilvl w:val="0"/>
                <w:numId w:val="3"/>
              </w:numPr>
              <w:spacing w:before="120" w:after="80" w:line="276" w:lineRule="auto"/>
              <w:ind w:left="456" w:hanging="284"/>
              <w:contextualSpacing/>
              <w:jc w:val="both"/>
              <w:rPr>
                <w:rFonts w:ascii="Times New Roman" w:eastAsia="Calibri" w:hAnsi="Times New Roman" w:cs="Times New Roman"/>
                <w:sz w:val="26"/>
                <w:szCs w:val="26"/>
              </w:rPr>
            </w:pPr>
            <w:r w:rsidRPr="006E7798">
              <w:rPr>
                <w:rFonts w:ascii="Times New Roman" w:eastAsia="Calibri" w:hAnsi="Times New Roman" w:cs="Times New Roman"/>
                <w:sz w:val="26"/>
                <w:szCs w:val="26"/>
                <w:lang w:val="fr-FR"/>
              </w:rPr>
              <w:t xml:space="preserve">Các cơ quan này sẽ cho ý kiến gì về việc thành lập trường tiêu học? </w:t>
            </w:r>
            <w:r w:rsidRPr="006E7798">
              <w:rPr>
                <w:rFonts w:ascii="Times New Roman" w:eastAsia="Calibri" w:hAnsi="Times New Roman" w:cs="Times New Roman"/>
                <w:sz w:val="26"/>
                <w:szCs w:val="26"/>
              </w:rPr>
              <w:t>Cho ý kiến dựa vào tiêu chí nào?</w:t>
            </w:r>
          </w:p>
          <w:p w:rsidR="006E7798" w:rsidRPr="006E7798" w:rsidRDefault="006E7798" w:rsidP="006E7798">
            <w:pPr>
              <w:numPr>
                <w:ilvl w:val="0"/>
                <w:numId w:val="3"/>
              </w:numPr>
              <w:spacing w:before="120" w:after="80" w:line="276" w:lineRule="auto"/>
              <w:ind w:left="456" w:hanging="284"/>
              <w:contextualSpacing/>
              <w:jc w:val="both"/>
              <w:rPr>
                <w:rFonts w:ascii="Times New Roman" w:eastAsia="Calibri" w:hAnsi="Times New Roman" w:cs="Times New Roman"/>
                <w:sz w:val="26"/>
                <w:szCs w:val="26"/>
              </w:rPr>
            </w:pPr>
            <w:r w:rsidRPr="006E7798">
              <w:rPr>
                <w:rFonts w:ascii="Times New Roman" w:eastAsia="Calibri" w:hAnsi="Times New Roman" w:cs="Times New Roman"/>
                <w:sz w:val="26"/>
                <w:szCs w:val="26"/>
              </w:rPr>
              <w:t>Trình tự thủ tục để có được các ý kiến này như thế nào?</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Xét về tính hợp lý:</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Để thành lập được trường tiểu học, các tổ chức, cá nhân đã phải đáp ứng các điều kiện quy định tại Điều 15 Dự thảo. Điều này được hiểu là, miễn đáp ứng đầy đủ các điều kiện quy định tại Điều 15, sẽ được thành lập trường tiểu học. Và việc xem xét có đầy đủ các điều kiện hay không đã có cơ quan nhà nước cấp phép. Như vậy, việc cá nhân, tổ chức phải xin ý kiến của các cơ quan liên quan khác là không cần thiết, tạo nên gánh nặng về thủ tục cho chủ thể thành lập trường.</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Đề nghị</w:t>
            </w:r>
            <w:r w:rsidRPr="006E7798">
              <w:rPr>
                <w:rFonts w:ascii="Times New Roman" w:eastAsia="Calibri" w:hAnsi="Times New Roman" w:cs="Times New Roman"/>
                <w:sz w:val="26"/>
                <w:szCs w:val="26"/>
                <w:lang w:val="fr-FR"/>
              </w:rPr>
              <w:t xml:space="preserve">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trong Hồ sơ đề nghị thành lập hoặc cho phép thành lập trường phải có “Ý kiến bằng văn bản của các cơ quan có liên quan về việc thành lập trường”, “Báo cáo giải trình việc thiếp thu ý kiến của các cơ quan liên quan và báo cáo bổ sung theo ý kiến chỉ đạo của ủy ban nhân dân cấp huyện” tức là bỏ quy định tại điểm d, đ khoản 2 Điều 16.</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Góp ý tương tự</w:t>
            </w:r>
            <w:r w:rsidRPr="006E7798">
              <w:rPr>
                <w:rFonts w:ascii="Times New Roman" w:eastAsia="Calibri" w:hAnsi="Times New Roman" w:cs="Times New Roman"/>
                <w:sz w:val="26"/>
                <w:szCs w:val="26"/>
                <w:lang w:val="fr-FR"/>
              </w:rPr>
              <w:t xml:space="preserve"> đối với:</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Thủ tục để trường tiểu học hoạt động giáo dục (Điều 18): đề nghị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tại điểm c khoản 1 Điều 18;</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Thủ tục thành lập hoặc cho phép thành lập trường trung học (Điều 26): </w:t>
            </w:r>
            <w:r w:rsidRPr="006E7798">
              <w:rPr>
                <w:rFonts w:ascii="Times New Roman" w:eastAsia="Calibri" w:hAnsi="Times New Roman" w:cs="Times New Roman"/>
                <w:b/>
                <w:sz w:val="26"/>
                <w:szCs w:val="26"/>
                <w:lang w:val="fr-FR"/>
              </w:rPr>
              <w:t>đề nghị bỏ</w:t>
            </w:r>
            <w:r w:rsidRPr="006E7798">
              <w:rPr>
                <w:rFonts w:ascii="Times New Roman" w:eastAsia="Calibri" w:hAnsi="Times New Roman" w:cs="Times New Roman"/>
                <w:sz w:val="26"/>
                <w:szCs w:val="26"/>
                <w:lang w:val="fr-FR"/>
              </w:rPr>
              <w:t xml:space="preserve"> quy định tại điểm d, đ khoản 2 Điều 26</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Thủ tục để trường trung học hoạt động giáo dục (Điều 28): đề nghị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tại điểm c khoản 2 Điều 28, thay vào đó là các tài liệu thể </w:t>
            </w:r>
            <w:r w:rsidRPr="006E7798">
              <w:rPr>
                <w:rFonts w:ascii="Times New Roman" w:eastAsia="Calibri" w:hAnsi="Times New Roman" w:cs="Times New Roman"/>
                <w:sz w:val="26"/>
                <w:szCs w:val="26"/>
                <w:lang w:val="fr-FR"/>
              </w:rPr>
              <w:lastRenderedPageBreak/>
              <w:t>hiện các điều kiện quy định tại Điều 27. Hoạt động thẩm định (kể cả việc lấy ý kiến các cơ quan có liên quan) là công việc nội bộ của cơ quan cấp phép, không nên yêu cầu doanh nghiệp phải thực hiện thủ tục xin thẩm định của từng cơ quan.</w:t>
            </w:r>
          </w:p>
          <w:p w:rsidR="006E7798" w:rsidRPr="006E7798" w:rsidRDefault="006E7798" w:rsidP="006E7798">
            <w:pPr>
              <w:numPr>
                <w:ilvl w:val="0"/>
                <w:numId w:val="3"/>
              </w:numPr>
              <w:spacing w:before="120" w:after="80" w:line="276" w:lineRule="auto"/>
              <w:ind w:left="459" w:hanging="284"/>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Thủ tục thành lập trung tâm kỹ thuật tổng hợp – hướng nghiệp hoạt động giáo dục (Điều 33):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tại điểm c khoản 2 Điều 33</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kiện để trường tiểu học hoạt động giáo dục (Điều 17)</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Diện tích khu đất xây dựng trường bình quân tối thiểu 06 m</w:t>
            </w:r>
            <w:r w:rsidRPr="006E7798">
              <w:rPr>
                <w:rFonts w:ascii="Times New Roman" w:eastAsia="Calibri" w:hAnsi="Times New Roman" w:cs="Times New Roman"/>
                <w:sz w:val="26"/>
                <w:szCs w:val="26"/>
                <w:vertAlign w:val="superscript"/>
                <w:lang w:val="fr-FR"/>
              </w:rPr>
              <w:t>2</w:t>
            </w:r>
            <w:r w:rsidRPr="006E7798">
              <w:rPr>
                <w:rFonts w:ascii="Times New Roman" w:eastAsia="Calibri" w:hAnsi="Times New Roman" w:cs="Times New Roman"/>
                <w:sz w:val="26"/>
                <w:szCs w:val="26"/>
                <w:lang w:val="fr-FR"/>
              </w:rPr>
              <w:t xml:space="preserve"> cho một học sinh đối với khu vực thành phố, thị xã</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Quy định diện tích này sẽ là khó khả thi ở khu vực thành thị, nhất là các thành phố có mật độ dân cư lớn như Hà Nội, thành phố Hồ Chí Minh. Điều này sẽ dẫn tới:</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Thiếu trường cho học sinh theo học</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Tạo gánh nặng, áp lực lên trường công</w:t>
            </w:r>
          </w:p>
          <w:p w:rsidR="006E7798" w:rsidRPr="006E7798" w:rsidRDefault="006E7798" w:rsidP="006E7798">
            <w:pPr>
              <w:numPr>
                <w:ilvl w:val="0"/>
                <w:numId w:val="3"/>
              </w:numPr>
              <w:spacing w:before="120" w:after="80" w:line="276" w:lineRule="auto"/>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Ngay bản thân một số trường công chưa chắc đã đáp ứng được điều kiện này </w:t>
            </w:r>
            <w:r w:rsidRPr="006E7798">
              <w:rPr>
                <w:rFonts w:ascii="Times New Roman" w:eastAsia="Calibri" w:hAnsi="Times New Roman" w:cs="Times New Roman"/>
                <w:sz w:val="26"/>
                <w:szCs w:val="26"/>
              </w:rPr>
              <w:sym w:font="Wingdings" w:char="F0E0"/>
            </w:r>
            <w:r w:rsidRPr="006E7798">
              <w:rPr>
                <w:rFonts w:ascii="Times New Roman" w:eastAsia="Calibri" w:hAnsi="Times New Roman" w:cs="Times New Roman"/>
                <w:sz w:val="26"/>
                <w:szCs w:val="26"/>
                <w:lang w:val="fr-FR"/>
              </w:rPr>
              <w:t xml:space="preserve"> Giải quyết như thế nào?</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về diện tích tối thiểu. Trong điều kiện để thành lập và hoạt động trường tiểu học, yêu cầu về cơ sở vật chất, chỉ cần yêu cầu có các khối công trình cơ bản phục vụ cho việc học tập, rèn luyện cho các học sinh là đủ, thay vì áp đặt một số liệu cứng về diện tích tối thiểu.</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Sáp nhập, chia, tách trường tiểu học (Điều 19):</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Vì quyền lợi học tập của học sinh </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Đáp ứng yêu cầu phát triển kinh tế - xã hội</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Bảo đảm quyền lợi của cán bộ quản lý, giáo viên, nhân viên</w:t>
            </w:r>
          </w:p>
          <w:p w:rsidR="006E7798" w:rsidRPr="006E7798" w:rsidRDefault="006E7798" w:rsidP="006E7798">
            <w:pPr>
              <w:numPr>
                <w:ilvl w:val="0"/>
                <w:numId w:val="3"/>
              </w:numPr>
              <w:spacing w:before="120" w:after="80" w:line="276" w:lineRule="auto"/>
              <w:ind w:left="442" w:hanging="283"/>
              <w:contextualSpacing/>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phần nâng cao chất lượng và hiệu quả giáo dục tiểu học</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 xml:space="preserve">Các điều kiện này là quá chung. Chính vì điều kiện chung chung như thế này nên các tài liệu trong Hồ sơ cũng thiếu rõ ràng, chẳng hạn như “các văn bản xác nhận về tài chính, tài sản, đất đai, các khoản vay, nợ phải trả và các vấn đề khác có liên quan” </w:t>
            </w:r>
            <w:r w:rsidRPr="006E7798">
              <w:rPr>
                <w:rFonts w:ascii="Times New Roman" w:eastAsia="Calibri" w:hAnsi="Times New Roman" w:cs="Times New Roman"/>
                <w:sz w:val="26"/>
                <w:szCs w:val="26"/>
                <w:lang w:val="fr-FR"/>
              </w:rPr>
              <w:lastRenderedPageBreak/>
              <w:t>(điểm c khoản 3 Điều 19). Không rõ hình thức của các văn bản này như thế nào? Hơn nữa, tài liệu này cũng không thể hiện hình thức của điều kiện nào quy định tại khoản 1 Điều 19</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 xml:space="preserve">Đề nghị </w:t>
            </w:r>
            <w:r w:rsidRPr="006E7798">
              <w:rPr>
                <w:rFonts w:ascii="Times New Roman" w:eastAsia="Calibri" w:hAnsi="Times New Roman" w:cs="Times New Roman"/>
                <w:b/>
                <w:sz w:val="26"/>
                <w:szCs w:val="26"/>
                <w:lang w:val="fr-FR"/>
              </w:rPr>
              <w:t>quy định rõ ràng, cụ thể</w:t>
            </w:r>
            <w:r w:rsidRPr="006E7798">
              <w:rPr>
                <w:rFonts w:ascii="Times New Roman" w:eastAsia="Calibri" w:hAnsi="Times New Roman" w:cs="Times New Roman"/>
                <w:sz w:val="26"/>
                <w:szCs w:val="26"/>
                <w:lang w:val="fr-FR"/>
              </w:rPr>
              <w:t xml:space="preserve"> về điều kiện sáp nhập, chia, tách trường tiểu học đồng thời quy định cụ thể tài </w:t>
            </w:r>
            <w:r w:rsidRPr="006E7798">
              <w:rPr>
                <w:rFonts w:ascii="Times New Roman" w:eastAsia="Calibri" w:hAnsi="Times New Roman" w:cs="Times New Roman"/>
                <w:sz w:val="26"/>
                <w:szCs w:val="26"/>
                <w:lang w:val="fr-FR"/>
              </w:rPr>
              <w:lastRenderedPageBreak/>
              <w:t>liệu, hồ sơ quy định tại khoản 3 Điều 19.</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ý tương tự đối với Điều 29 về sáp nhập, chia, tách trường trung học</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Đình chỉ hoạt động giáo dục của trung tâm kỹ thuật tổng hợp – hướng nghiệp (Điều 35)</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“Vì lý do khách quan không đảm bảo hoạt động </w:t>
            </w:r>
            <w:r w:rsidRPr="006E7798">
              <w:rPr>
                <w:rFonts w:ascii="Times New Roman" w:eastAsia="Calibri" w:hAnsi="Times New Roman" w:cs="Times New Roman"/>
                <w:i/>
                <w:sz w:val="26"/>
                <w:szCs w:val="26"/>
                <w:lang w:val="fr-FR"/>
              </w:rPr>
              <w:t>bình thường</w:t>
            </w:r>
            <w:r w:rsidRPr="006E7798">
              <w:rPr>
                <w:rFonts w:ascii="Times New Roman" w:eastAsia="Calibri" w:hAnsi="Times New Roman" w:cs="Times New Roman"/>
                <w:sz w:val="26"/>
                <w:szCs w:val="26"/>
                <w:lang w:val="fr-FR"/>
              </w:rPr>
              <w:t xml:space="preserve"> của Trung tâm kỹ thuật tổng hợp – hướng nghiệp”</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Như thế nào được cho hoạt động </w:t>
            </w:r>
            <w:r w:rsidRPr="006E7798">
              <w:rPr>
                <w:rFonts w:ascii="Times New Roman" w:eastAsia="Calibri" w:hAnsi="Times New Roman" w:cs="Times New Roman"/>
                <w:i/>
                <w:sz w:val="26"/>
                <w:szCs w:val="26"/>
                <w:lang w:val="fr-FR"/>
              </w:rPr>
              <w:t>bình thường</w:t>
            </w:r>
            <w:r w:rsidRPr="006E7798">
              <w:rPr>
                <w:rFonts w:ascii="Times New Roman" w:eastAsia="Calibri" w:hAnsi="Times New Roman" w:cs="Times New Roman"/>
                <w:sz w:val="26"/>
                <w:szCs w:val="26"/>
                <w:lang w:val="fr-FR"/>
              </w:rPr>
              <w:t xml:space="preserve"> của Trung tâm?</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Việc xác định trường hợp này thuộc trường hợp bị đình chỉ hoạt động là chưa hợp lý, bởi vì Trung tâm không hoạt động được bình thường là do “lý do khách quan” – tức là không phải lỗi của Trung tâm.</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Xếp trường hợp này tương đương với trường hợp bị đình chỉ do vi phạm là chưa hợp lý.</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Đề nghị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“Vì lý do khách quan không đảm bảo hoạt động </w:t>
            </w:r>
            <w:r w:rsidRPr="006E7798">
              <w:rPr>
                <w:rFonts w:ascii="Times New Roman" w:eastAsia="Calibri" w:hAnsi="Times New Roman" w:cs="Times New Roman"/>
                <w:i/>
                <w:sz w:val="26"/>
                <w:szCs w:val="26"/>
                <w:lang w:val="fr-FR"/>
              </w:rPr>
              <w:t>bình thường</w:t>
            </w:r>
            <w:r w:rsidRPr="006E7798">
              <w:rPr>
                <w:rFonts w:ascii="Times New Roman" w:eastAsia="Calibri" w:hAnsi="Times New Roman" w:cs="Times New Roman"/>
                <w:sz w:val="26"/>
                <w:szCs w:val="26"/>
                <w:lang w:val="fr-FR"/>
              </w:rPr>
              <w:t xml:space="preserve"> của Trung tâm kỹ thuật tổng hợp – hướng nghiệp” là trường hợp đình chỉ hoạt động giáo dục của trung tâm kỹ thuật tổng hợp – hướng nghiệp, tức là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tại điểm b khoản 1 Điều 35.</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Góp ý tương tự</w:t>
            </w:r>
            <w:r w:rsidRPr="006E7798">
              <w:rPr>
                <w:rFonts w:ascii="Times New Roman" w:eastAsia="Calibri" w:hAnsi="Times New Roman" w:cs="Times New Roman"/>
                <w:sz w:val="26"/>
                <w:szCs w:val="26"/>
                <w:lang w:val="fr-FR"/>
              </w:rPr>
              <w:t xml:space="preserve"> đối với quy định đình chỉ hoạt động trung tâm giáo dục thường xuyên (Điều 42): đề nghị </w:t>
            </w:r>
            <w:r w:rsidRPr="006E7798">
              <w:rPr>
                <w:rFonts w:ascii="Times New Roman" w:eastAsia="Calibri" w:hAnsi="Times New Roman" w:cs="Times New Roman"/>
                <w:b/>
                <w:sz w:val="26"/>
                <w:szCs w:val="26"/>
                <w:lang w:val="fr-FR"/>
              </w:rPr>
              <w:t xml:space="preserve">bỏ quy định </w:t>
            </w:r>
            <w:r w:rsidRPr="006E7798">
              <w:rPr>
                <w:rFonts w:ascii="Times New Roman" w:eastAsia="Calibri" w:hAnsi="Times New Roman" w:cs="Times New Roman"/>
                <w:sz w:val="26"/>
                <w:szCs w:val="26"/>
                <w:lang w:val="fr-FR"/>
              </w:rPr>
              <w:t>tại điểm b khoản 1 Điều 42</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kiện hoạt động tổ chức dạy thêm, học thêm ngoài nhà trường (Điều 37)</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Dự thảo quy định điều kiện đối với người dạy thêm và người tổ chức hoạt động dạy thêm, học thêm.</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Việc quy định điều kiện đối với người dạy thêm là hợp lý, bởi đây là chủ thể có tác động trực tiếp đến học sinh, nên cần phải có yêu cầu về trình độ, phẩm chất đạo đức. Tuy nhiên, Dự thảo quy định điều kiện đối với người tổ chức học thêm, theo hướng tối thiểu tương ứng với giáo viên dạy thêm là chưa hợp lý.</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Người tổ chức là người sắp xếp, kết nối, tổ chức các buổi dạy thêm, học thêm. Trong nhiều trường hợp, họ không phải là người trực tiếp đứng dạy. Do đó, yêu cầu các chủ thể này phải đáp ứng trình độ tối thiểu tương ứng với giáo viên dạy thêm là chưa phù hợp. Hơn nữa, đối với người tổ chức, trình độ yêu cầu liên quan đến kinh tế, tổ chức chứ không phải là các chuyên môn các môn học như giáo viên dạy thêm</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lastRenderedPageBreak/>
              <w:t xml:space="preserve">Đề nghị </w:t>
            </w:r>
            <w:r w:rsidRPr="006E7798">
              <w:rPr>
                <w:rFonts w:ascii="Times New Roman" w:eastAsia="Calibri" w:hAnsi="Times New Roman" w:cs="Times New Roman"/>
                <w:b/>
                <w:sz w:val="26"/>
                <w:szCs w:val="26"/>
                <w:lang w:val="fr-FR"/>
              </w:rPr>
              <w:t>bỏ quy định</w:t>
            </w:r>
            <w:r w:rsidRPr="006E7798">
              <w:rPr>
                <w:rFonts w:ascii="Times New Roman" w:eastAsia="Calibri" w:hAnsi="Times New Roman" w:cs="Times New Roman"/>
                <w:sz w:val="26"/>
                <w:szCs w:val="26"/>
                <w:lang w:val="fr-FR"/>
              </w:rPr>
              <w:t xml:space="preserve"> điều kiện đối với người tổ chức hoạt động dạy thêm, học thêm, tức là bỏ quy định tại khoản 2 Điều 37.</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Đình chỉ hoạt động của trung tâm học tập cộng đồng (Điều 46)</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“Hoạt động của trung tâm học tập cộng đồng không đáp ứng nhu cầu học tập của cộng đồng, không được sự hưởng ứng của nhân dân” (điểm b khoản 1 Điều 46)</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Quy định này mang tính định tính, mang tính tuyên bố chính sách hơn là quy định có tính chất quy phạm</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Như thế nào được cho là “không đáp ứng nhu cầu học tập của cộng đồng”, “không được sự hưởng ứng của nhân dân”</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Đề nghị quy định</w:t>
            </w:r>
            <w:r w:rsidRPr="006E7798">
              <w:rPr>
                <w:rFonts w:ascii="Times New Roman" w:eastAsia="Calibri" w:hAnsi="Times New Roman" w:cs="Times New Roman"/>
                <w:sz w:val="26"/>
                <w:szCs w:val="26"/>
                <w:lang w:val="fr-FR"/>
              </w:rPr>
              <w:t xml:space="preserve"> </w:t>
            </w:r>
            <w:r w:rsidRPr="006E7798">
              <w:rPr>
                <w:rFonts w:ascii="Times New Roman" w:eastAsia="Calibri" w:hAnsi="Times New Roman" w:cs="Times New Roman"/>
                <w:b/>
                <w:sz w:val="26"/>
                <w:szCs w:val="26"/>
                <w:lang w:val="fr-FR"/>
              </w:rPr>
              <w:t>cụ thể, rõ ràng</w:t>
            </w:r>
            <w:r w:rsidRPr="006E7798">
              <w:rPr>
                <w:rFonts w:ascii="Times New Roman" w:eastAsia="Calibri" w:hAnsi="Times New Roman" w:cs="Times New Roman"/>
                <w:sz w:val="26"/>
                <w:szCs w:val="26"/>
                <w:lang w:val="fr-FR"/>
              </w:rPr>
              <w:t xml:space="preserve"> đối với trường hợp này. Trong trường hợp không quy định cụ thể được thì đề nghị bỏ, vì quy định quá chung sẽ tạo ra rất nhiều rủi ro cho</w:t>
            </w:r>
            <w:bookmarkStart w:id="0" w:name="_GoBack"/>
            <w:bookmarkEnd w:id="0"/>
            <w:r w:rsidRPr="006E7798">
              <w:rPr>
                <w:rFonts w:ascii="Times New Roman" w:eastAsia="Calibri" w:hAnsi="Times New Roman" w:cs="Times New Roman"/>
                <w:sz w:val="26"/>
                <w:szCs w:val="26"/>
                <w:lang w:val="fr-FR"/>
              </w:rPr>
              <w:t xml:space="preserve"> các tổ chức, cá nhân thành lập trung tâm và tạo dư địa cho tình trạng lạm quyền, tham nhũng từ các cán bộ thực thi.</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kiện thành lập hoặc cho phép thành lập trường trung cấp, trường cao đẳng (Điều 77)</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 xml:space="preserve">“Có </w:t>
            </w:r>
            <w:r w:rsidRPr="006E7798">
              <w:rPr>
                <w:rFonts w:ascii="Times New Roman" w:eastAsia="Calibri" w:hAnsi="Times New Roman" w:cs="Times New Roman"/>
                <w:b/>
                <w:sz w:val="26"/>
                <w:szCs w:val="26"/>
                <w:lang w:val="fr-FR"/>
              </w:rPr>
              <w:t>chấp thuận bằng văn bản</w:t>
            </w:r>
            <w:r w:rsidRPr="006E7798">
              <w:rPr>
                <w:rFonts w:ascii="Times New Roman" w:eastAsia="Calibri" w:hAnsi="Times New Roman" w:cs="Times New Roman"/>
                <w:sz w:val="26"/>
                <w:szCs w:val="26"/>
                <w:lang w:val="fr-FR"/>
              </w:rPr>
              <w:t xml:space="preserve"> về việc thành lập trường trên địa bàn tỉnh, thành phố trực thuộc Trung ương của </w:t>
            </w:r>
            <w:r w:rsidRPr="006E7798">
              <w:rPr>
                <w:rFonts w:ascii="Times New Roman" w:eastAsia="Calibri" w:hAnsi="Times New Roman" w:cs="Times New Roman"/>
                <w:b/>
                <w:sz w:val="26"/>
                <w:szCs w:val="26"/>
                <w:lang w:val="fr-FR"/>
              </w:rPr>
              <w:t xml:space="preserve">Ủy ban nhân dân cấp tỉnh </w:t>
            </w:r>
            <w:r w:rsidRPr="006E7798">
              <w:rPr>
                <w:rFonts w:ascii="Times New Roman" w:eastAsia="Calibri" w:hAnsi="Times New Roman" w:cs="Times New Roman"/>
                <w:sz w:val="26"/>
                <w:szCs w:val="26"/>
                <w:lang w:val="fr-FR"/>
              </w:rPr>
              <w:t>nơi trường đặt trụ sở chính (trừ trường trường hợp trường trực thuộc tỉnh, thành phố trực thuộc trung ương)” (khoản 2)</w:t>
            </w:r>
          </w:p>
        </w:tc>
        <w:tc>
          <w:tcPr>
            <w:tcW w:w="6801" w:type="dxa"/>
            <w:shd w:val="clear" w:color="auto" w:fill="auto"/>
          </w:tcPr>
          <w:p w:rsidR="006E7798" w:rsidRPr="006E7798" w:rsidRDefault="006E7798" w:rsidP="006E7798">
            <w:pPr>
              <w:spacing w:before="120" w:after="80" w:line="276" w:lineRule="auto"/>
              <w:jc w:val="both"/>
              <w:rPr>
                <w:rFonts w:ascii="Calibri" w:eastAsia="Calibri" w:hAnsi="Calibri" w:cs="Times New Roman"/>
                <w:sz w:val="26"/>
                <w:szCs w:val="26"/>
                <w:lang w:val="fr-FR"/>
              </w:rPr>
            </w:pPr>
            <w:r w:rsidRPr="006E7798">
              <w:rPr>
                <w:rFonts w:ascii="Times New Roman" w:eastAsia="Calibri" w:hAnsi="Times New Roman" w:cs="Times New Roman"/>
                <w:sz w:val="26"/>
                <w:szCs w:val="26"/>
                <w:lang w:val="fr-FR"/>
              </w:rPr>
              <w:t>Quy định này là chưa rõ ràng ở điểm: Ủy ban nhân dân cấp tỉnh sẽ dựa vào tiêu chí nào để chấp thuận cho việc thành lập trường? Trình tự, thủ tục như thế nào?</w:t>
            </w: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Đề nghị</w:t>
            </w:r>
            <w:r w:rsidRPr="006E7798">
              <w:rPr>
                <w:rFonts w:ascii="Times New Roman" w:eastAsia="Calibri" w:hAnsi="Times New Roman" w:cs="Times New Roman"/>
                <w:sz w:val="26"/>
                <w:szCs w:val="26"/>
                <w:lang w:val="fr-FR"/>
              </w:rPr>
              <w:t xml:space="preserve"> </w:t>
            </w:r>
            <w:r w:rsidRPr="006E7798">
              <w:rPr>
                <w:rFonts w:ascii="Times New Roman" w:eastAsia="Calibri" w:hAnsi="Times New Roman" w:cs="Times New Roman"/>
                <w:b/>
                <w:sz w:val="26"/>
                <w:szCs w:val="26"/>
                <w:lang w:val="fr-FR"/>
              </w:rPr>
              <w:t xml:space="preserve">quy định rõ </w:t>
            </w:r>
            <w:r w:rsidRPr="006E7798">
              <w:rPr>
                <w:rFonts w:ascii="Times New Roman" w:eastAsia="Calibri" w:hAnsi="Times New Roman" w:cs="Times New Roman"/>
                <w:sz w:val="26"/>
                <w:szCs w:val="26"/>
                <w:lang w:val="fr-FR"/>
              </w:rPr>
              <w:t>về các vấn đề trên</w:t>
            </w:r>
          </w:p>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sz w:val="26"/>
                <w:szCs w:val="26"/>
                <w:lang w:val="fr-FR"/>
              </w:rPr>
              <w:t>Góp ý tương tự đối với điều kiện thành lập, cho phép thành lập trường đại học (Điều 88)</w:t>
            </w:r>
          </w:p>
        </w:tc>
      </w:tr>
      <w:tr w:rsidR="006E7798" w:rsidRPr="006E7798" w:rsidTr="006E7798">
        <w:tc>
          <w:tcPr>
            <w:tcW w:w="692" w:type="dxa"/>
            <w:shd w:val="clear" w:color="auto" w:fill="auto"/>
          </w:tcPr>
          <w:p w:rsidR="006E7798" w:rsidRPr="006E7798" w:rsidRDefault="006E7798" w:rsidP="006E7798">
            <w:pPr>
              <w:numPr>
                <w:ilvl w:val="0"/>
                <w:numId w:val="4"/>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b/>
                <w:sz w:val="26"/>
                <w:szCs w:val="26"/>
                <w:lang w:val="fr-FR"/>
              </w:rPr>
            </w:pPr>
            <w:r w:rsidRPr="006E7798">
              <w:rPr>
                <w:rFonts w:ascii="Times New Roman" w:eastAsia="Calibri" w:hAnsi="Times New Roman" w:cs="Times New Roman"/>
                <w:b/>
                <w:sz w:val="26"/>
                <w:szCs w:val="26"/>
                <w:lang w:val="fr-FR"/>
              </w:rPr>
              <w:t>Điều khoản chuyển tiếp</w:t>
            </w:r>
          </w:p>
        </w:tc>
        <w:tc>
          <w:tcPr>
            <w:tcW w:w="6801"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p>
        </w:tc>
        <w:tc>
          <w:tcPr>
            <w:tcW w:w="3289" w:type="dxa"/>
            <w:shd w:val="clear" w:color="auto" w:fill="auto"/>
          </w:tcPr>
          <w:p w:rsidR="006E7798" w:rsidRPr="006E7798" w:rsidRDefault="006E7798" w:rsidP="006E7798">
            <w:pPr>
              <w:spacing w:before="120" w:after="80" w:line="276" w:lineRule="auto"/>
              <w:jc w:val="both"/>
              <w:rPr>
                <w:rFonts w:ascii="Times New Roman" w:eastAsia="Calibri" w:hAnsi="Times New Roman" w:cs="Times New Roman"/>
                <w:sz w:val="26"/>
                <w:szCs w:val="26"/>
                <w:lang w:val="fr-FR"/>
              </w:rPr>
            </w:pPr>
            <w:r w:rsidRPr="006E7798">
              <w:rPr>
                <w:rFonts w:ascii="Times New Roman" w:eastAsia="Calibri" w:hAnsi="Times New Roman" w:cs="Times New Roman"/>
                <w:b/>
                <w:sz w:val="26"/>
                <w:szCs w:val="26"/>
                <w:lang w:val="fr-FR"/>
              </w:rPr>
              <w:t>Đề nghị</w:t>
            </w:r>
            <w:r w:rsidRPr="006E7798">
              <w:rPr>
                <w:rFonts w:ascii="Times New Roman" w:eastAsia="Calibri" w:hAnsi="Times New Roman" w:cs="Times New Roman"/>
                <w:sz w:val="26"/>
                <w:szCs w:val="26"/>
                <w:lang w:val="fr-FR"/>
              </w:rPr>
              <w:t xml:space="preserve"> </w:t>
            </w:r>
            <w:r w:rsidRPr="006E7798">
              <w:rPr>
                <w:rFonts w:ascii="Times New Roman" w:eastAsia="Calibri" w:hAnsi="Times New Roman" w:cs="Times New Roman"/>
                <w:b/>
                <w:sz w:val="26"/>
                <w:szCs w:val="26"/>
                <w:lang w:val="fr-FR"/>
              </w:rPr>
              <w:t>quy định về điều khoản chuyển tiếp</w:t>
            </w:r>
            <w:r w:rsidRPr="006E7798">
              <w:rPr>
                <w:rFonts w:ascii="Times New Roman" w:eastAsia="Calibri" w:hAnsi="Times New Roman" w:cs="Times New Roman"/>
                <w:sz w:val="26"/>
                <w:szCs w:val="26"/>
                <w:lang w:val="fr-FR"/>
              </w:rPr>
              <w:t xml:space="preserve"> đối với các cơ sở giáo dục trước thời điểm Nghị định này có hiệu lực chưa đáp ứng đủ điều kiện theo quy định tại Nghị định này thì trong khoảng thời gian bao lâu phải áp dụng.</w:t>
            </w:r>
          </w:p>
        </w:tc>
      </w:tr>
    </w:tbl>
    <w:p w:rsidR="00181A50" w:rsidRPr="006E7798" w:rsidRDefault="00181A50" w:rsidP="006E7798">
      <w:pPr>
        <w:rPr>
          <w:lang w:val="fr-FR"/>
        </w:rPr>
      </w:pPr>
    </w:p>
    <w:sectPr w:rsidR="00181A50" w:rsidRPr="006E7798" w:rsidSect="004A433B">
      <w:pgSz w:w="15840" w:h="12240" w:orient="landscape"/>
      <w:pgMar w:top="709" w:right="144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E76AE"/>
    <w:multiLevelType w:val="hybridMultilevel"/>
    <w:tmpl w:val="80861654"/>
    <w:lvl w:ilvl="0" w:tplc="797AAA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F12C0"/>
    <w:multiLevelType w:val="hybridMultilevel"/>
    <w:tmpl w:val="4D3C48E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45"/>
    <w:rsid w:val="00067345"/>
    <w:rsid w:val="00181A50"/>
    <w:rsid w:val="004A433B"/>
    <w:rsid w:val="006E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421F-26F4-415E-9450-62FA208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2016-08-29T03:56:00Z</dcterms:created>
  <dcterms:modified xsi:type="dcterms:W3CDTF">2016-08-29T08:04:00Z</dcterms:modified>
</cp:coreProperties>
</file>